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6F30B" w14:textId="77777777" w:rsidR="000F4BCA" w:rsidRPr="004C5BD1" w:rsidRDefault="00887FB3" w:rsidP="003370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0" w:after="480"/>
        <w:jc w:val="left"/>
        <w:rPr>
          <w:rFonts w:ascii="TheSans" w:hAnsi="TheSans" w:cs="TheSans-B7Bold"/>
          <w:b/>
          <w:bCs/>
          <w:color w:val="0070B8"/>
          <w:spacing w:val="-4"/>
          <w:sz w:val="40"/>
          <w:szCs w:val="40"/>
          <w:bdr w:val="none" w:sz="0" w:space="0" w:color="auto"/>
        </w:rPr>
      </w:pPr>
      <w:r>
        <w:rPr>
          <w:rFonts w:ascii="TheSans" w:hAnsi="TheSans" w:cs="TheSans-B7Bold"/>
          <w:b/>
          <w:bCs/>
          <w:color w:val="0070B8"/>
          <w:spacing w:val="-4"/>
          <w:sz w:val="40"/>
          <w:szCs w:val="40"/>
          <w:bdr w:val="none" w:sz="0" w:space="0" w:color="auto"/>
        </w:rPr>
        <w:t>Neue ASUE-Broschüre:</w:t>
      </w:r>
      <w:r>
        <w:rPr>
          <w:rFonts w:ascii="TheSans" w:hAnsi="TheSans" w:cs="TheSans-B7Bold"/>
          <w:b/>
          <w:bCs/>
          <w:color w:val="0070B8"/>
          <w:spacing w:val="-4"/>
          <w:sz w:val="40"/>
          <w:szCs w:val="40"/>
          <w:bdr w:val="none" w:sz="0" w:space="0" w:color="auto"/>
        </w:rPr>
        <w:br/>
      </w:r>
      <w:r w:rsidRPr="00887FB3">
        <w:rPr>
          <w:rFonts w:ascii="TheSans" w:hAnsi="TheSans" w:cs="TheSans-B7Bold"/>
          <w:b/>
          <w:bCs/>
          <w:color w:val="0070B8"/>
          <w:spacing w:val="-4"/>
          <w:sz w:val="40"/>
          <w:szCs w:val="40"/>
          <w:bdr w:val="none" w:sz="0" w:space="0" w:color="auto"/>
        </w:rPr>
        <w:t xml:space="preserve">Vom Niedrigstenergiehaus zum Hocheffizienzhaus – mit </w:t>
      </w:r>
      <w:r>
        <w:rPr>
          <w:rFonts w:ascii="TheSans" w:hAnsi="TheSans" w:cs="TheSans-B7Bold"/>
          <w:b/>
          <w:bCs/>
          <w:color w:val="0070B8"/>
          <w:spacing w:val="-4"/>
          <w:sz w:val="40"/>
          <w:szCs w:val="40"/>
          <w:bdr w:val="none" w:sz="0" w:space="0" w:color="auto"/>
        </w:rPr>
        <w:br/>
      </w:r>
      <w:r w:rsidRPr="00887FB3">
        <w:rPr>
          <w:rFonts w:ascii="TheSans" w:hAnsi="TheSans" w:cs="TheSans-B7Bold"/>
          <w:b/>
          <w:bCs/>
          <w:color w:val="0070B8"/>
          <w:spacing w:val="-4"/>
          <w:sz w:val="40"/>
          <w:szCs w:val="40"/>
          <w:bdr w:val="none" w:sz="0" w:space="0" w:color="auto"/>
        </w:rPr>
        <w:t>effizienter Gastechnik wirtschaftlich möglich</w:t>
      </w:r>
    </w:p>
    <w:p w14:paraId="0466EBDB" w14:textId="77777777" w:rsidR="000F4BCA" w:rsidRPr="004C5BD1" w:rsidRDefault="000F4BCA" w:rsidP="003370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0" w:after="480"/>
        <w:jc w:val="left"/>
        <w:rPr>
          <w:rFonts w:ascii="TheSans" w:hAnsi="TheSans" w:cs="TheSans-B7Bold"/>
          <w:b/>
          <w:bCs/>
          <w:color w:val="0070B8"/>
          <w:spacing w:val="-4"/>
          <w:sz w:val="40"/>
          <w:szCs w:val="40"/>
          <w:bdr w:val="none" w:sz="0" w:space="0" w:color="auto"/>
        </w:rPr>
        <w:sectPr w:rsidR="000F4BCA" w:rsidRPr="004C5BD1" w:rsidSect="00FB415E">
          <w:headerReference w:type="default" r:id="rId8"/>
          <w:footerReference w:type="default" r:id="rId9"/>
          <w:pgSz w:w="11906" w:h="16838"/>
          <w:pgMar w:top="2127" w:right="707" w:bottom="1134" w:left="709" w:header="568" w:footer="708" w:gutter="0"/>
          <w:cols w:space="708"/>
          <w:docGrid w:linePitch="360"/>
        </w:sectPr>
      </w:pPr>
    </w:p>
    <w:p w14:paraId="7B72D199" w14:textId="77777777" w:rsidR="000F4BCA" w:rsidRPr="004C5BD1" w:rsidRDefault="000F4BCA" w:rsidP="000F4BCA">
      <w:pPr>
        <w:rPr>
          <w:rFonts w:ascii="TheSans" w:hAnsi="TheSans"/>
        </w:rPr>
      </w:pPr>
    </w:p>
    <w:p w14:paraId="7EDFDEC1" w14:textId="77777777" w:rsidR="000F4BCA" w:rsidRPr="004C5BD1" w:rsidRDefault="000F4BCA" w:rsidP="000F4BCA">
      <w:pPr>
        <w:rPr>
          <w:rFonts w:ascii="TheSans" w:hAnsi="TheSans"/>
        </w:rPr>
        <w:sectPr w:rsidR="000F4BCA" w:rsidRPr="004C5BD1" w:rsidSect="000F4BCA">
          <w:type w:val="continuous"/>
          <w:pgSz w:w="11906" w:h="16838"/>
          <w:pgMar w:top="2242" w:right="707" w:bottom="1134" w:left="709" w:header="568" w:footer="708" w:gutter="0"/>
          <w:cols w:space="708"/>
          <w:docGrid w:linePitch="360"/>
        </w:sectPr>
      </w:pPr>
    </w:p>
    <w:p w14:paraId="6D717BD6" w14:textId="7FB8E04E" w:rsidR="00887FB3" w:rsidRPr="00887FB3" w:rsidRDefault="00887FB3" w:rsidP="00E21A7E">
      <w:pPr>
        <w:spacing w:line="300" w:lineRule="exact"/>
        <w:rPr>
          <w:rFonts w:ascii="TheSans" w:hAnsi="TheSans"/>
        </w:rPr>
      </w:pPr>
      <w:r w:rsidRPr="00887FB3">
        <w:rPr>
          <w:rFonts w:ascii="TheSans" w:hAnsi="TheSans"/>
        </w:rPr>
        <w:t xml:space="preserve">Berlin, </w:t>
      </w:r>
      <w:r w:rsidR="004E6A1B">
        <w:rPr>
          <w:rFonts w:ascii="TheSans" w:hAnsi="TheSans"/>
        </w:rPr>
        <w:t>8</w:t>
      </w:r>
      <w:bookmarkStart w:id="0" w:name="_GoBack"/>
      <w:bookmarkEnd w:id="0"/>
      <w:r w:rsidRPr="00887FB3">
        <w:rPr>
          <w:rFonts w:ascii="TheSans" w:hAnsi="TheSans"/>
        </w:rPr>
        <w:t>. September 2021. In deutschen Haushalten macht die Raumwärme rund 70 % des Energieverbrauchs aus</w:t>
      </w:r>
      <w:r>
        <w:rPr>
          <w:rFonts w:ascii="TheSans" w:hAnsi="TheSans"/>
        </w:rPr>
        <w:t>.</w:t>
      </w:r>
      <w:r w:rsidRPr="00887FB3">
        <w:rPr>
          <w:rFonts w:ascii="TheSans" w:hAnsi="TheSans"/>
        </w:rPr>
        <w:t xml:space="preserve"> </w:t>
      </w:r>
      <w:r>
        <w:rPr>
          <w:rFonts w:ascii="TheSans" w:hAnsi="TheSans"/>
        </w:rPr>
        <w:t>W</w:t>
      </w:r>
      <w:r w:rsidRPr="00887FB3">
        <w:rPr>
          <w:rFonts w:ascii="TheSans" w:hAnsi="TheSans"/>
        </w:rPr>
        <w:t xml:space="preserve">eitere 15 % </w:t>
      </w:r>
      <w:r>
        <w:rPr>
          <w:rFonts w:ascii="TheSans" w:hAnsi="TheSans"/>
        </w:rPr>
        <w:t>kommen durch</w:t>
      </w:r>
      <w:r w:rsidRPr="00887FB3">
        <w:rPr>
          <w:rFonts w:ascii="TheSans" w:hAnsi="TheSans"/>
        </w:rPr>
        <w:t xml:space="preserve"> die Warmwasserbereitstellung</w:t>
      </w:r>
      <w:r>
        <w:rPr>
          <w:rFonts w:ascii="TheSans" w:hAnsi="TheSans"/>
        </w:rPr>
        <w:t xml:space="preserve"> hinzu</w:t>
      </w:r>
      <w:r w:rsidRPr="00887FB3">
        <w:rPr>
          <w:rFonts w:ascii="TheSans" w:hAnsi="TheSans"/>
        </w:rPr>
        <w:t>. D</w:t>
      </w:r>
      <w:r>
        <w:rPr>
          <w:rFonts w:ascii="TheSans" w:hAnsi="TheSans"/>
        </w:rPr>
        <w:t>adurch besitzt d</w:t>
      </w:r>
      <w:r w:rsidRPr="00887FB3">
        <w:rPr>
          <w:rFonts w:ascii="TheSans" w:hAnsi="TheSans"/>
        </w:rPr>
        <w:t xml:space="preserve">as Einsparen von Heizenergie einen großen Hebel zum Erreichen der Klimaziele. Aber die technologische Auswahl im Heizungsmarkt ist für viele undurchsichtig, die jeweils optimale Heizungslösung schwer zu identifizieren. Die ASUE zeigt nun in Ihrer neuen Broschüre </w:t>
      </w:r>
      <w:r w:rsidRPr="00887FB3">
        <w:rPr>
          <w:rFonts w:ascii="TheSans" w:hAnsi="TheSans"/>
          <w:b/>
        </w:rPr>
        <w:t>„Vom Niedrigstenergiehaus zum Hocheffizienzhaus“</w:t>
      </w:r>
      <w:r w:rsidRPr="00887FB3">
        <w:rPr>
          <w:rFonts w:ascii="TheSans" w:hAnsi="TheSans"/>
        </w:rPr>
        <w:t xml:space="preserve"> auf, mit welcher Anlagentechnik eine drastische Senkung des Energieverbrauchs erreicht wird.</w:t>
      </w:r>
    </w:p>
    <w:p w14:paraId="35A8A5F9" w14:textId="77777777" w:rsidR="00887FB3" w:rsidRDefault="00E21A7E" w:rsidP="00E21A7E">
      <w:pPr>
        <w:spacing w:line="300" w:lineRule="exact"/>
        <w:rPr>
          <w:rFonts w:ascii="TheSans" w:hAnsi="TheSans"/>
        </w:rPr>
      </w:pPr>
      <w:r>
        <w:rPr>
          <w:noProof/>
        </w:rPr>
        <mc:AlternateContent>
          <mc:Choice Requires="wps">
            <w:drawing>
              <wp:anchor distT="0" distB="0" distL="114300" distR="114300" simplePos="0" relativeHeight="251661312" behindDoc="0" locked="0" layoutInCell="1" allowOverlap="1" wp14:anchorId="1E9E46F3" wp14:editId="39149B90">
                <wp:simplePos x="0" y="0"/>
                <wp:positionH relativeFrom="column">
                  <wp:posOffset>-1270</wp:posOffset>
                </wp:positionH>
                <wp:positionV relativeFrom="paragraph">
                  <wp:posOffset>2880995</wp:posOffset>
                </wp:positionV>
                <wp:extent cx="3105785" cy="635"/>
                <wp:effectExtent l="0" t="0" r="0" b="0"/>
                <wp:wrapTopAndBottom/>
                <wp:docPr id="1" name="Textfeld 1"/>
                <wp:cNvGraphicFramePr/>
                <a:graphic xmlns:a="http://schemas.openxmlformats.org/drawingml/2006/main">
                  <a:graphicData uri="http://schemas.microsoft.com/office/word/2010/wordprocessingShape">
                    <wps:wsp>
                      <wps:cNvSpPr txBox="1"/>
                      <wps:spPr>
                        <a:xfrm>
                          <a:off x="0" y="0"/>
                          <a:ext cx="3105785" cy="635"/>
                        </a:xfrm>
                        <a:prstGeom prst="rect">
                          <a:avLst/>
                        </a:prstGeom>
                        <a:solidFill>
                          <a:prstClr val="white"/>
                        </a:solidFill>
                        <a:ln>
                          <a:noFill/>
                        </a:ln>
                      </wps:spPr>
                      <wps:txbx>
                        <w:txbxContent>
                          <w:p w14:paraId="3AFCA92C" w14:textId="55C63BF2" w:rsidR="00E21A7E" w:rsidRPr="00972A5A" w:rsidRDefault="00E21A7E" w:rsidP="00E21A7E">
                            <w:pPr>
                              <w:pStyle w:val="Beschriftung"/>
                              <w:rPr>
                                <w:noProof/>
                                <w:sz w:val="24"/>
                                <w:szCs w:val="24"/>
                              </w:rPr>
                            </w:pPr>
                            <w:r>
                              <w:t xml:space="preserve">Abbildung </w:t>
                            </w:r>
                            <w:fldSimple w:instr=" SEQ Abbildung \* ARABIC ">
                              <w:r w:rsidR="004E6A1B">
                                <w:rPr>
                                  <w:noProof/>
                                </w:rPr>
                                <w:t>1</w:t>
                              </w:r>
                            </w:fldSimple>
                            <w:r>
                              <w:t>: Die heute gültigen Anforderungen an den Primärenergiebedarf in den verschiedenen Effizienzklassen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9E46F3" id="_x0000_t202" coordsize="21600,21600" o:spt="202" path="m,l,21600r21600,l21600,xe">
                <v:stroke joinstyle="miter"/>
                <v:path gradientshapeok="t" o:connecttype="rect"/>
              </v:shapetype>
              <v:shape id="Textfeld 1" o:spid="_x0000_s1026" type="#_x0000_t202" style="position:absolute;left:0;text-align:left;margin-left:-.1pt;margin-top:226.85pt;width:244.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" stroked="f">
                <v:textbox style="mso-fit-shape-to-text:t" inset="0,0,0,0">
                  <w:txbxContent>
                    <w:p w14:paraId="3AFCA92C" w14:textId="55C63BF2" w:rsidR="00E21A7E" w:rsidRPr="00972A5A" w:rsidRDefault="00E21A7E" w:rsidP="00E21A7E">
                      <w:pPr>
                        <w:pStyle w:val="Beschriftung"/>
                        <w:rPr>
                          <w:noProof/>
                          <w:sz w:val="24"/>
                          <w:szCs w:val="24"/>
                        </w:rPr>
                      </w:pPr>
                      <w:r>
                        <w:t xml:space="preserve">Abbildung </w:t>
                      </w:r>
                      <w:fldSimple w:instr=" SEQ Abbildung \* ARABIC ">
                        <w:r w:rsidR="004E6A1B">
                          <w:rPr>
                            <w:noProof/>
                          </w:rPr>
                          <w:t>1</w:t>
                        </w:r>
                      </w:fldSimple>
                      <w:r>
                        <w:t>: Die heute gültigen Anforderungen an den Primärenergiebedarf in den verschiedenen Effizienzklassen</w:t>
                      </w:r>
                    </w:p>
                  </w:txbxContent>
                </v:textbox>
                <w10:wrap type="topAndBottom"/>
              </v:shape>
            </w:pict>
          </mc:Fallback>
        </mc:AlternateContent>
      </w:r>
      <w:r>
        <w:rPr>
          <w:noProof/>
        </w:rPr>
        <w:drawing>
          <wp:anchor distT="0" distB="0" distL="114300" distR="114300" simplePos="0" relativeHeight="251659264" behindDoc="0" locked="0" layoutInCell="1" allowOverlap="1" wp14:anchorId="66A0C17F" wp14:editId="402C0B57">
            <wp:simplePos x="0" y="0"/>
            <wp:positionH relativeFrom="column">
              <wp:posOffset>-1270</wp:posOffset>
            </wp:positionH>
            <wp:positionV relativeFrom="paragraph">
              <wp:posOffset>1331763</wp:posOffset>
            </wp:positionV>
            <wp:extent cx="3105785" cy="1492531"/>
            <wp:effectExtent l="0" t="0" r="0" b="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785" cy="1492531"/>
                    </a:xfrm>
                    <a:prstGeom prst="rect">
                      <a:avLst/>
                    </a:prstGeom>
                    <a:noFill/>
                    <a:ln>
                      <a:noFill/>
                    </a:ln>
                  </pic:spPr>
                </pic:pic>
              </a:graphicData>
            </a:graphic>
          </wp:anchor>
        </w:drawing>
      </w:r>
      <w:r w:rsidR="00887FB3" w:rsidRPr="00887FB3">
        <w:rPr>
          <w:rFonts w:ascii="TheSans" w:hAnsi="TheSans"/>
        </w:rPr>
        <w:t>Die Berechnung von Heizungssystemen ist umfangreich. Bauherren und Energieberater müssen standortspezifische Gegebenheiten sowie Vor- und Nachteile abschätzen. Wegen der Vielfalt der Heizungsanlagen sind außerdem technologieneutrale Aussagen eher selten.</w:t>
      </w:r>
    </w:p>
    <w:p w14:paraId="21F40438" w14:textId="77777777" w:rsidR="00E21A7E" w:rsidRPr="00887FB3" w:rsidRDefault="00E21A7E" w:rsidP="00E21A7E">
      <w:pPr>
        <w:spacing w:line="300" w:lineRule="exact"/>
        <w:rPr>
          <w:rFonts w:ascii="TheSans" w:hAnsi="TheSans"/>
        </w:rPr>
      </w:pPr>
    </w:p>
    <w:p w14:paraId="2952AC1E" w14:textId="77777777" w:rsidR="00887FB3" w:rsidRDefault="00887FB3" w:rsidP="00750E4F">
      <w:pPr>
        <w:pStyle w:val="berschrift2"/>
        <w:spacing w:before="0" w:line="300" w:lineRule="exact"/>
      </w:pPr>
      <w:r w:rsidRPr="00887FB3">
        <w:t>Brennwertthermen, Wärmepumpen und Brennstoffzellen im Vergleich</w:t>
      </w:r>
    </w:p>
    <w:p w14:paraId="63A1B138" w14:textId="77777777" w:rsidR="00887FB3" w:rsidRPr="00887FB3" w:rsidRDefault="00887FB3" w:rsidP="00E21A7E">
      <w:pPr>
        <w:spacing w:line="300" w:lineRule="exact"/>
        <w:rPr>
          <w:rFonts w:ascii="TheSans" w:hAnsi="TheSans"/>
        </w:rPr>
      </w:pPr>
      <w:r w:rsidRPr="00887FB3">
        <w:rPr>
          <w:rFonts w:ascii="TheSans" w:hAnsi="TheSans"/>
        </w:rPr>
        <w:t xml:space="preserve">Die ASUE bietet mit der neuen Broschüre eine Hilfestellung bei der Entscheidungsfindung. Basierend auf den aus EnEV und GEG bekannten Referenzhäusern wurden verschiedene, technologische Ausstattungsvarianten berechnet. Die Ergebnisse der von Prof. Oschatz am Institut für technische Gebäudeausrüstung </w:t>
      </w:r>
      <w:r>
        <w:rPr>
          <w:rFonts w:ascii="TheSans" w:hAnsi="TheSans"/>
        </w:rPr>
        <w:t xml:space="preserve">in </w:t>
      </w:r>
      <w:r w:rsidRPr="00887FB3">
        <w:rPr>
          <w:rFonts w:ascii="TheSans" w:hAnsi="TheSans"/>
        </w:rPr>
        <w:t>Dresden durchgeführten Kalkulationen zeigen, wie echte Effizienzhäuser der Zukunft schon heute Realität werden können.</w:t>
      </w:r>
    </w:p>
    <w:p w14:paraId="4D18A5A2" w14:textId="77777777" w:rsidR="00887FB3" w:rsidRDefault="00887FB3" w:rsidP="00E21A7E">
      <w:pPr>
        <w:spacing w:line="300" w:lineRule="exact"/>
        <w:rPr>
          <w:rFonts w:ascii="TheSans" w:hAnsi="TheSans"/>
        </w:rPr>
      </w:pPr>
      <w:r w:rsidRPr="00887FB3">
        <w:rPr>
          <w:rFonts w:ascii="TheSans" w:hAnsi="TheSans"/>
        </w:rPr>
        <w:t xml:space="preserve">Es gibt vielfältige Möglichkeiten, ein ambitioniertes Effizienzziel zu erreichen. Mit einer neutralen Gegenüberstellung und einer tief gehenden Analyse werden die gewählten Varianten in der Broschüre vorgestellt. Die Varianten verfügen jeweils über </w:t>
      </w:r>
      <w:r w:rsidRPr="00887FB3">
        <w:rPr>
          <w:rFonts w:ascii="TheSans" w:hAnsi="TheSans"/>
          <w:b/>
        </w:rPr>
        <w:t>gasbasierte Systeme</w:t>
      </w:r>
      <w:r w:rsidRPr="00887FB3">
        <w:rPr>
          <w:rFonts w:ascii="TheSans" w:hAnsi="TheSans"/>
        </w:rPr>
        <w:t xml:space="preserve">, </w:t>
      </w:r>
      <w:r w:rsidRPr="00887FB3">
        <w:rPr>
          <w:rFonts w:ascii="TheSans" w:hAnsi="TheSans"/>
          <w:b/>
        </w:rPr>
        <w:t>elektrische Wärmepumpen</w:t>
      </w:r>
      <w:r w:rsidRPr="00887FB3">
        <w:rPr>
          <w:rFonts w:ascii="TheSans" w:hAnsi="TheSans"/>
        </w:rPr>
        <w:t xml:space="preserve">, </w:t>
      </w:r>
      <w:r w:rsidRPr="00887FB3">
        <w:rPr>
          <w:rFonts w:ascii="TheSans" w:hAnsi="TheSans"/>
          <w:b/>
        </w:rPr>
        <w:t>Brennstoffzellen</w:t>
      </w:r>
      <w:r w:rsidRPr="00887FB3">
        <w:rPr>
          <w:rFonts w:ascii="TheSans" w:hAnsi="TheSans"/>
        </w:rPr>
        <w:t xml:space="preserve"> wie auch </w:t>
      </w:r>
      <w:r w:rsidRPr="00887FB3">
        <w:rPr>
          <w:rFonts w:ascii="TheSans" w:hAnsi="TheSans"/>
          <w:b/>
        </w:rPr>
        <w:t>Hybridlösungen</w:t>
      </w:r>
      <w:r w:rsidRPr="00887FB3">
        <w:rPr>
          <w:rFonts w:ascii="TheSans" w:hAnsi="TheSans"/>
        </w:rPr>
        <w:t xml:space="preserve"> sowie weiteres Zubehör wie Solardächer, Stromspeicher oder Lüftungsanlagen. Die Berechnungsergebnisse werden anhand der Investitionskosten, der jeweiligen Betriebskosten und der Vergütungserlöse aufgelistet. Hinzu kommen jeweils die wichtigen Angaben über den Grad der Effizienzsteigerung anhand des Primärenergieverbrauchs und den spezifischen CO</w:t>
      </w:r>
      <w:r w:rsidRPr="00887FB3">
        <w:rPr>
          <w:rFonts w:ascii="TheSans" w:hAnsi="TheSans"/>
          <w:vertAlign w:val="subscript"/>
        </w:rPr>
        <w:t>2</w:t>
      </w:r>
      <w:r w:rsidRPr="00887FB3">
        <w:rPr>
          <w:rFonts w:ascii="TheSans" w:hAnsi="TheSans"/>
        </w:rPr>
        <w:t>-Emissionen jeder Anlagenkonfiguration sowie eine Einordnung in die erreichte Effizienzhausklasse.</w:t>
      </w:r>
    </w:p>
    <w:p w14:paraId="45970E18" w14:textId="77777777" w:rsidR="00E21A7E" w:rsidRDefault="00E21A7E" w:rsidP="00E21A7E">
      <w:pPr>
        <w:keepNext/>
      </w:pPr>
      <w:r>
        <w:rPr>
          <w:noProof/>
        </w:rPr>
        <w:lastRenderedPageBreak/>
        <w:drawing>
          <wp:inline distT="0" distB="0" distL="0" distR="0" wp14:anchorId="74BBD927" wp14:editId="6586911F">
            <wp:extent cx="3084026" cy="3226279"/>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6084" cy="3249355"/>
                    </a:xfrm>
                    <a:prstGeom prst="rect">
                      <a:avLst/>
                    </a:prstGeom>
                    <a:noFill/>
                    <a:ln>
                      <a:noFill/>
                    </a:ln>
                  </pic:spPr>
                </pic:pic>
              </a:graphicData>
            </a:graphic>
          </wp:inline>
        </w:drawing>
      </w:r>
    </w:p>
    <w:p w14:paraId="4F048B2E" w14:textId="543A65E2" w:rsidR="00E21A7E" w:rsidRPr="00887FB3" w:rsidRDefault="00E21A7E" w:rsidP="00E21A7E">
      <w:pPr>
        <w:pStyle w:val="Beschriftung"/>
        <w:rPr>
          <w:rFonts w:ascii="TheSans" w:hAnsi="TheSans"/>
        </w:rPr>
      </w:pPr>
      <w:r>
        <w:t xml:space="preserve">Abbildung </w:t>
      </w:r>
      <w:fldSimple w:instr=" SEQ Abbildung \* ARABIC ">
        <w:r w:rsidR="004E6A1B">
          <w:rPr>
            <w:noProof/>
          </w:rPr>
          <w:t>2</w:t>
        </w:r>
      </w:fldSimple>
      <w:r>
        <w:t>: Das Referenzhaus der ASUE Berechnungen: Gasbrennwerttherme mit Solarthermie und kontrollierter Wohnraumlüftung mit Wärmerückgewinnung (Mindestausstattung gem. GEG)</w:t>
      </w:r>
    </w:p>
    <w:p w14:paraId="7C5C4317" w14:textId="77777777" w:rsidR="00750E4F" w:rsidRDefault="00887FB3" w:rsidP="00E21A7E">
      <w:pPr>
        <w:spacing w:line="300" w:lineRule="exact"/>
        <w:rPr>
          <w:rFonts w:ascii="TheSans" w:hAnsi="TheSans"/>
        </w:rPr>
      </w:pPr>
      <w:r w:rsidRPr="00887FB3">
        <w:rPr>
          <w:rFonts w:ascii="TheSans" w:hAnsi="TheSans"/>
        </w:rPr>
        <w:t>Die niedrigsten jährlichen Betriebskosten wurden, etwas überraschend, für ein mit einer Gaswärmepumpe mit integrierter Brennwert</w:t>
      </w:r>
      <w:r>
        <w:rPr>
          <w:rFonts w:ascii="TheSans" w:hAnsi="TheSans"/>
        </w:rPr>
        <w:t>-</w:t>
      </w:r>
      <w:r w:rsidRPr="00887FB3">
        <w:rPr>
          <w:rFonts w:ascii="TheSans" w:hAnsi="TheSans"/>
        </w:rPr>
        <w:t xml:space="preserve">therme ausgestattetes Einfamilienhaus ermittelt. Dazu Jürgen Kukuk, </w:t>
      </w:r>
      <w:r w:rsidR="00712421">
        <w:rPr>
          <w:rFonts w:ascii="TheSans" w:hAnsi="TheSans"/>
        </w:rPr>
        <w:t xml:space="preserve">scheidender </w:t>
      </w:r>
      <w:r w:rsidRPr="00887FB3">
        <w:rPr>
          <w:rFonts w:ascii="TheSans" w:hAnsi="TheSans"/>
        </w:rPr>
        <w:t>Geschäftsführer der ASUE: „</w:t>
      </w:r>
      <w:r w:rsidRPr="00887FB3">
        <w:rPr>
          <w:rFonts w:ascii="TheSans" w:hAnsi="TheSans"/>
          <w:i/>
        </w:rPr>
        <w:t>Gaswärmepumpen stellen durch die Einbindung von Umweltwärme zusammen mit dem kostengünstigen Gas eine interessante Alternative dar, die durch den Einsatz von Biomethan zu geringen Mehrkosten ohne jeden Umbau noch umweltfreundlicher betrieben werden kann.</w:t>
      </w:r>
      <w:r w:rsidRPr="00887FB3">
        <w:rPr>
          <w:rFonts w:ascii="TheSans" w:hAnsi="TheSans"/>
        </w:rPr>
        <w:t>“</w:t>
      </w:r>
    </w:p>
    <w:p w14:paraId="7A86D252" w14:textId="77777777" w:rsidR="00887FB3" w:rsidRPr="00887FB3" w:rsidRDefault="00887FB3" w:rsidP="00E21A7E">
      <w:pPr>
        <w:spacing w:line="300" w:lineRule="exact"/>
        <w:rPr>
          <w:rFonts w:ascii="TheSans" w:hAnsi="TheSans"/>
        </w:rPr>
      </w:pPr>
      <w:r w:rsidRPr="00887FB3">
        <w:rPr>
          <w:rFonts w:ascii="TheSans" w:hAnsi="TheSans"/>
        </w:rPr>
        <w:t>Auch die von großen Fördersummen profitierenden Brennstoffzellen lassen aufhorchen, denn die Stromgutschriften führen am Ende gar zu einem negativen Primärenergiebedarf, der nach geltender Vorschrift zu null gesetzt wird. „</w:t>
      </w:r>
      <w:r w:rsidRPr="00887FB3">
        <w:rPr>
          <w:rFonts w:ascii="TheSans" w:hAnsi="TheSans"/>
          <w:i/>
        </w:rPr>
        <w:t xml:space="preserve">Mit dieser von keiner anderen Technologie erreichten Bewertung, zeigen sowohl SOFC-Brennstoffzellen, als auch mit Biomethan betriebene PEM-Brennstoffzellen, wie eine vielversprechende, zukunftsfähige Lösung für </w:t>
      </w:r>
      <w:r w:rsidRPr="00887FB3">
        <w:rPr>
          <w:rFonts w:ascii="TheSans" w:hAnsi="TheSans"/>
          <w:i/>
        </w:rPr>
        <w:t>deutsche Heizungskeller aussehen kann.</w:t>
      </w:r>
      <w:r w:rsidRPr="00887FB3">
        <w:rPr>
          <w:rFonts w:ascii="TheSans" w:hAnsi="TheSans"/>
        </w:rPr>
        <w:t>“, so Jürgen Kukuk weiter.</w:t>
      </w:r>
    </w:p>
    <w:p w14:paraId="213F957E" w14:textId="77777777" w:rsidR="00887FB3" w:rsidRPr="00887FB3" w:rsidRDefault="00887FB3" w:rsidP="00E21A7E">
      <w:pPr>
        <w:pStyle w:val="berschrift2"/>
        <w:spacing w:line="300" w:lineRule="exact"/>
      </w:pPr>
      <w:r w:rsidRPr="00887FB3">
        <w:t>Wer ein Netz hat, hat´s gut</w:t>
      </w:r>
    </w:p>
    <w:p w14:paraId="1F56C670" w14:textId="77777777" w:rsidR="00887FB3" w:rsidRDefault="00887FB3" w:rsidP="00E21A7E">
      <w:pPr>
        <w:spacing w:line="300" w:lineRule="exact"/>
        <w:rPr>
          <w:rFonts w:ascii="TheSans" w:hAnsi="TheSans"/>
        </w:rPr>
      </w:pPr>
      <w:r w:rsidRPr="00887FB3">
        <w:rPr>
          <w:rFonts w:ascii="TheSans" w:hAnsi="TheSans"/>
        </w:rPr>
        <w:t>Elektrische Wärmepumpen werden in diesem Vergleich nicht außer Acht gelassen. Insbesondere in der Ausnutzung von geothermaler Quellwärme oder in der Erzeugung von Trinkwarmwasser spielen sie ihre Vorteile aus. Wenn elektrische Wärmepumpen wegen fehlender Quellwärme, hoher Geräuschemissionen oder Trinkwasserauflagen aber nicht zum Einsatz kommen können, bieten gasbasierte Lösungen ebenso effiziente und auch wirtschaftlichere Lösungen. Vor dem Hintergrund der steigenden Anforderungen an die Heizungs- und Lüftungstechnik ist das eine durchaus positive Erkenntnis.</w:t>
      </w:r>
    </w:p>
    <w:p w14:paraId="5F076AFC" w14:textId="77777777" w:rsidR="00E21A7E" w:rsidRDefault="00E21A7E" w:rsidP="00E21A7E">
      <w:pPr>
        <w:keepNext/>
      </w:pPr>
      <w:r>
        <w:rPr>
          <w:noProof/>
        </w:rPr>
        <w:drawing>
          <wp:inline distT="0" distB="0" distL="0" distR="0" wp14:anchorId="767A3816" wp14:editId="49C69E6D">
            <wp:extent cx="3105785" cy="390823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785" cy="3908231"/>
                    </a:xfrm>
                    <a:prstGeom prst="rect">
                      <a:avLst/>
                    </a:prstGeom>
                    <a:noFill/>
                    <a:ln>
                      <a:noFill/>
                    </a:ln>
                  </pic:spPr>
                </pic:pic>
              </a:graphicData>
            </a:graphic>
          </wp:inline>
        </w:drawing>
      </w:r>
    </w:p>
    <w:p w14:paraId="3AA03D82" w14:textId="376FB0C0" w:rsidR="00E21A7E" w:rsidRPr="00887FB3" w:rsidRDefault="00E21A7E" w:rsidP="00E21A7E">
      <w:pPr>
        <w:pStyle w:val="Beschriftung"/>
        <w:rPr>
          <w:rFonts w:ascii="TheSans" w:hAnsi="TheSans"/>
        </w:rPr>
      </w:pPr>
      <w:r>
        <w:t xml:space="preserve">Abbildung </w:t>
      </w:r>
      <w:fldSimple w:instr=" SEQ Abbildung \* ARABIC ">
        <w:r w:rsidR="004E6A1B">
          <w:rPr>
            <w:noProof/>
          </w:rPr>
          <w:t>3</w:t>
        </w:r>
      </w:fldSimple>
      <w:r>
        <w:t xml:space="preserve">: Zusammenfassung der Ergebnisse (Rot: Jahreskosten mit Erdgas, in grün jeweils die Mehrkosten bei Einsatz von </w:t>
      </w:r>
      <w:r>
        <w:br/>
        <w:t>Biomethan; Blau: Primärenergiebedarf, in grün jeweils der durch den Einsatz von Biomethan teilweise deutlich reduzierte Primärenergiebedarf)</w:t>
      </w:r>
    </w:p>
    <w:p w14:paraId="306476A6" w14:textId="77777777" w:rsidR="00887FB3" w:rsidRDefault="00887FB3" w:rsidP="00E21A7E">
      <w:pPr>
        <w:spacing w:line="300" w:lineRule="exact"/>
        <w:rPr>
          <w:rFonts w:ascii="TheSans" w:hAnsi="TheSans"/>
        </w:rPr>
      </w:pPr>
      <w:r w:rsidRPr="00887FB3">
        <w:rPr>
          <w:rFonts w:ascii="TheSans" w:hAnsi="TheSans"/>
        </w:rPr>
        <w:lastRenderedPageBreak/>
        <w:t>Auch netzgebundene Systeme sind Teil der Berechnungen: Wer über ein Wärmenetz verfügt, der sollte sich anschließen. Mit den gemeinschaftlich genutzten Energieanlagen und Leitungen kann kostentechnisch keine der Einzelanlagen mithalten.</w:t>
      </w:r>
    </w:p>
    <w:p w14:paraId="192890A7" w14:textId="77777777" w:rsidR="00750E4F" w:rsidRPr="00887FB3" w:rsidRDefault="00750E4F" w:rsidP="00E21A7E">
      <w:pPr>
        <w:spacing w:line="300" w:lineRule="exact"/>
        <w:rPr>
          <w:rFonts w:ascii="TheSans" w:hAnsi="TheSans"/>
        </w:rPr>
      </w:pPr>
      <w:r>
        <w:rPr>
          <w:noProof/>
        </w:rPr>
        <w:drawing>
          <wp:anchor distT="0" distB="0" distL="114300" distR="114300" simplePos="0" relativeHeight="251663360" behindDoc="0" locked="0" layoutInCell="1" allowOverlap="1" wp14:anchorId="63B88DF1" wp14:editId="3A2A484B">
            <wp:simplePos x="0" y="0"/>
            <wp:positionH relativeFrom="column">
              <wp:posOffset>0</wp:posOffset>
            </wp:positionH>
            <wp:positionV relativeFrom="paragraph">
              <wp:posOffset>267335</wp:posOffset>
            </wp:positionV>
            <wp:extent cx="3105785" cy="4392989"/>
            <wp:effectExtent l="0" t="0" r="0" b="762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785" cy="4392989"/>
                    </a:xfrm>
                    <a:prstGeom prst="rect">
                      <a:avLst/>
                    </a:prstGeom>
                    <a:noFill/>
                    <a:ln>
                      <a:noFill/>
                    </a:ln>
                  </pic:spPr>
                </pic:pic>
              </a:graphicData>
            </a:graphic>
          </wp:anchor>
        </w:drawing>
      </w:r>
    </w:p>
    <w:p w14:paraId="4442220C" w14:textId="77777777" w:rsidR="00750E4F" w:rsidRDefault="00750E4F" w:rsidP="00E21A7E">
      <w:pPr>
        <w:pStyle w:val="berschrift2"/>
        <w:spacing w:line="300" w:lineRule="exact"/>
      </w:pPr>
    </w:p>
    <w:p w14:paraId="3820F5DC" w14:textId="77777777" w:rsidR="00887FB3" w:rsidRPr="00887FB3" w:rsidRDefault="00750E4F" w:rsidP="00E21A7E">
      <w:pPr>
        <w:pStyle w:val="berschrift2"/>
        <w:spacing w:line="300" w:lineRule="exact"/>
      </w:pPr>
      <w:r>
        <w:br w:type="column"/>
      </w:r>
      <w:r w:rsidR="00887FB3" w:rsidRPr="00887FB3">
        <w:t xml:space="preserve">Broschüre als Druck oder </w:t>
      </w:r>
      <w:proofErr w:type="spellStart"/>
      <w:r w:rsidR="00887FB3" w:rsidRPr="00887FB3">
        <w:t>pdf</w:t>
      </w:r>
      <w:proofErr w:type="spellEnd"/>
      <w:r w:rsidR="00887FB3" w:rsidRPr="00887FB3">
        <w:t>-Datei verfügbar</w:t>
      </w:r>
    </w:p>
    <w:p w14:paraId="6384C80B" w14:textId="77777777" w:rsidR="00D9670A" w:rsidRDefault="00887FB3" w:rsidP="00E21A7E">
      <w:pPr>
        <w:spacing w:line="300" w:lineRule="exact"/>
        <w:rPr>
          <w:rFonts w:ascii="TheSans" w:hAnsi="TheSans"/>
        </w:rPr>
      </w:pPr>
      <w:r w:rsidRPr="00887FB3">
        <w:rPr>
          <w:rFonts w:ascii="TheSans" w:hAnsi="TheSans"/>
        </w:rPr>
        <w:t>Mit diesem Nachschlagewerk können Bauherren, Planer und Energieberater schnell überblicken, welches die Mindestanforderungen des GEG hinsichtlich Primärenergieverbrauch sind und wie der Einsatz von 15 % erneuerbarer Energie am Endenergiebedarf erreicht werden kann. Die mit insgesamt 60 Seiten sehr</w:t>
      </w:r>
      <w:r w:rsidR="007A7DFE">
        <w:rPr>
          <w:rFonts w:ascii="TheSans" w:hAnsi="TheSans"/>
        </w:rPr>
        <w:br/>
      </w:r>
      <w:r w:rsidRPr="00887FB3">
        <w:rPr>
          <w:rFonts w:ascii="TheSans" w:hAnsi="TheSans"/>
        </w:rPr>
        <w:t xml:space="preserve">umfangreiche Broschüre kann unter </w:t>
      </w:r>
      <w:hyperlink r:id="rId14" w:history="1">
        <w:r w:rsidR="007A7DFE" w:rsidRPr="008516DE">
          <w:rPr>
            <w:rStyle w:val="Hyperlink"/>
            <w:rFonts w:ascii="TheSans" w:hAnsi="TheSans"/>
          </w:rPr>
          <w:t>https://asue.de/energie-im-haus/broschueren/311690_vom_niedrigstenergiehaus_zum_hocheffizienzhaus</w:t>
        </w:r>
      </w:hyperlink>
      <w:r w:rsidR="007A7DFE">
        <w:rPr>
          <w:rFonts w:ascii="TheSans" w:hAnsi="TheSans"/>
        </w:rPr>
        <w:t xml:space="preserve"> </w:t>
      </w:r>
      <w:r w:rsidRPr="00887FB3">
        <w:rPr>
          <w:rFonts w:ascii="TheSans" w:hAnsi="TheSans"/>
        </w:rPr>
        <w:t>bestellt werden.</w:t>
      </w:r>
    </w:p>
    <w:p w14:paraId="77FB4701" w14:textId="77777777" w:rsidR="00750E4F" w:rsidRPr="004C5BD1" w:rsidRDefault="00750E4F" w:rsidP="00E21A7E">
      <w:pPr>
        <w:spacing w:line="300" w:lineRule="exact"/>
        <w:rPr>
          <w:rFonts w:ascii="TheSans" w:hAnsi="TheSans"/>
        </w:rPr>
      </w:pPr>
      <w:r w:rsidRPr="004C5BD1">
        <w:rPr>
          <w:rFonts w:ascii="TheSans" w:hAnsi="TheSans"/>
          <w:noProof/>
          <w:lang w:eastAsia="de-DE"/>
        </w:rPr>
        <w:drawing>
          <wp:anchor distT="0" distB="0" distL="114300" distR="114300" simplePos="0" relativeHeight="251658240" behindDoc="0" locked="0" layoutInCell="1" allowOverlap="1" wp14:anchorId="032434C0" wp14:editId="1F085283">
            <wp:simplePos x="0" y="0"/>
            <wp:positionH relativeFrom="page">
              <wp:align>right</wp:align>
            </wp:positionH>
            <wp:positionV relativeFrom="paragraph">
              <wp:posOffset>3193032</wp:posOffset>
            </wp:positionV>
            <wp:extent cx="3104515" cy="3806190"/>
            <wp:effectExtent l="0" t="0" r="635" b="381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4515" cy="380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FD89C" w14:textId="77777777" w:rsidR="005123EB" w:rsidRPr="004C5BD1" w:rsidRDefault="005123EB" w:rsidP="000F4BCA">
      <w:pPr>
        <w:rPr>
          <w:rFonts w:ascii="TheSans" w:hAnsi="TheSans"/>
        </w:rPr>
        <w:sectPr w:rsidR="005123EB" w:rsidRPr="004C5BD1" w:rsidSect="003C399C">
          <w:type w:val="continuous"/>
          <w:pgSz w:w="11906" w:h="16838"/>
          <w:pgMar w:top="2552" w:right="707" w:bottom="1134" w:left="709" w:header="568" w:footer="708" w:gutter="0"/>
          <w:cols w:num="2" w:space="708"/>
          <w:docGrid w:linePitch="360"/>
        </w:sectPr>
      </w:pPr>
    </w:p>
    <w:p w14:paraId="0F85E491" w14:textId="77777777" w:rsidR="00F9474B" w:rsidRPr="004C5BD1" w:rsidRDefault="00F9474B" w:rsidP="00750E4F">
      <w:pPr>
        <w:rPr>
          <w:rFonts w:ascii="TheSans" w:hAnsi="TheSans" w:cstheme="majorBidi"/>
          <w:color w:val="0070B8"/>
          <w:szCs w:val="26"/>
          <w:bdr w:val="none" w:sz="0" w:space="0" w:color="auto"/>
        </w:rPr>
      </w:pPr>
    </w:p>
    <w:sectPr w:rsidR="00F9474B" w:rsidRPr="004C5BD1" w:rsidSect="00B243DB">
      <w:footerReference w:type="default" r:id="rId16"/>
      <w:pgSz w:w="11906" w:h="16838"/>
      <w:pgMar w:top="2268" w:right="707" w:bottom="1134" w:left="709" w:header="56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E683A" w14:textId="77777777" w:rsidR="00B77C65" w:rsidRDefault="00B77C65" w:rsidP="004710D2">
      <w:pPr>
        <w:spacing w:after="0"/>
      </w:pPr>
      <w:r>
        <w:separator/>
      </w:r>
    </w:p>
    <w:p w14:paraId="1F917168" w14:textId="77777777" w:rsidR="00B77C65" w:rsidRDefault="00B77C65"/>
  </w:endnote>
  <w:endnote w:type="continuationSeparator" w:id="0">
    <w:p w14:paraId="23F3C40F" w14:textId="77777777" w:rsidR="00B77C65" w:rsidRDefault="00B77C65" w:rsidP="004710D2">
      <w:pPr>
        <w:spacing w:after="0"/>
      </w:pPr>
      <w:r>
        <w:continuationSeparator/>
      </w:r>
    </w:p>
    <w:p w14:paraId="59B53875" w14:textId="77777777" w:rsidR="00B77C65" w:rsidRDefault="00B77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
    <w:altName w:val="Corbel"/>
    <w:panose1 w:val="02000503050000020004"/>
    <w:charset w:val="00"/>
    <w:family w:val="auto"/>
    <w:pitch w:val="variable"/>
    <w:sig w:usb0="00000003" w:usb1="00000000" w:usb2="00000000" w:usb3="00000000" w:csb0="00000001" w:csb1="00000000"/>
  </w:font>
  <w:font w:name="TheSans-B7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4DAE" w14:textId="77777777" w:rsidR="00F15F2A" w:rsidRPr="004C5BD1" w:rsidRDefault="00F15F2A" w:rsidP="00B243DB">
    <w:pPr>
      <w:pStyle w:val="Fuzeile"/>
      <w:tabs>
        <w:tab w:val="clear" w:pos="9072"/>
        <w:tab w:val="right" w:pos="10490"/>
      </w:tabs>
      <w:rPr>
        <w:rFonts w:ascii="TheSans" w:hAnsi="TheSans"/>
        <w:color w:val="0070B8"/>
      </w:rPr>
    </w:pPr>
    <w:r w:rsidRPr="004C5BD1">
      <w:rPr>
        <w:rFonts w:ascii="TheSans" w:hAnsi="TheSans"/>
        <w:color w:val="0070B8"/>
      </w:rPr>
      <w:t xml:space="preserve">Seite </w:t>
    </w:r>
    <w:sdt>
      <w:sdtPr>
        <w:rPr>
          <w:rFonts w:ascii="TheSans" w:hAnsi="TheSans"/>
          <w:color w:val="0070B8"/>
        </w:rPr>
        <w:id w:val="-922184462"/>
        <w:docPartObj>
          <w:docPartGallery w:val="Page Numbers (Bottom of Page)"/>
          <w:docPartUnique/>
        </w:docPartObj>
      </w:sdtPr>
      <w:sdtEndPr/>
      <w:sdtContent>
        <w:r w:rsidRPr="004C5BD1">
          <w:rPr>
            <w:rFonts w:ascii="TheSans" w:hAnsi="TheSans"/>
            <w:color w:val="0070B8"/>
          </w:rPr>
          <w:fldChar w:fldCharType="begin"/>
        </w:r>
        <w:r w:rsidRPr="004C5BD1">
          <w:rPr>
            <w:rFonts w:ascii="TheSans" w:hAnsi="TheSans"/>
            <w:color w:val="0070B8"/>
          </w:rPr>
          <w:instrText>PAGE   \* MERGEFORMAT</w:instrText>
        </w:r>
        <w:r w:rsidRPr="004C5BD1">
          <w:rPr>
            <w:rFonts w:ascii="TheSans" w:hAnsi="TheSans"/>
            <w:color w:val="0070B8"/>
          </w:rPr>
          <w:fldChar w:fldCharType="separate"/>
        </w:r>
        <w:r w:rsidR="003C399C">
          <w:rPr>
            <w:rFonts w:ascii="TheSans" w:hAnsi="TheSans"/>
            <w:noProof/>
            <w:color w:val="0070B8"/>
          </w:rPr>
          <w:t>2</w:t>
        </w:r>
        <w:r w:rsidRPr="004C5BD1">
          <w:rPr>
            <w:rFonts w:ascii="TheSans" w:hAnsi="TheSans"/>
            <w:color w:val="0070B8"/>
          </w:rPr>
          <w:fldChar w:fldCharType="end"/>
        </w:r>
      </w:sdtContent>
    </w:sdt>
    <w:r w:rsidR="00B243DB" w:rsidRPr="004C5BD1">
      <w:rPr>
        <w:rFonts w:ascii="TheSans" w:hAnsi="TheSans"/>
        <w:color w:val="0070B8"/>
      </w:rPr>
      <w:tab/>
    </w:r>
    <w:r w:rsidR="00B243DB" w:rsidRPr="004C5BD1">
      <w:rPr>
        <w:rFonts w:ascii="TheSans" w:hAnsi="TheSans"/>
        <w:color w:val="0070B8"/>
      </w:rPr>
      <w:tab/>
      <w:t>www.asue.de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9DD51" w14:textId="77777777" w:rsidR="00F15F2A" w:rsidRPr="00F15F2A" w:rsidRDefault="00F15F2A">
    <w:pPr>
      <w:pStyle w:val="Fuzeile"/>
      <w:rPr>
        <w:color w:val="0070B8"/>
      </w:rPr>
    </w:pPr>
    <w:r w:rsidRPr="00F15F2A">
      <w:rPr>
        <w:color w:val="0070B8"/>
      </w:rPr>
      <w:t xml:space="preserve">Seite </w:t>
    </w:r>
    <w:sdt>
      <w:sdtPr>
        <w:rPr>
          <w:color w:val="0070B8"/>
        </w:rPr>
        <w:id w:val="-1745179617"/>
        <w:docPartObj>
          <w:docPartGallery w:val="Page Numbers (Bottom of Page)"/>
          <w:docPartUnique/>
        </w:docPartObj>
      </w:sdtPr>
      <w:sdtEndPr/>
      <w:sdtContent>
        <w:r w:rsidRPr="00F15F2A">
          <w:rPr>
            <w:color w:val="0070B8"/>
          </w:rPr>
          <w:fldChar w:fldCharType="begin"/>
        </w:r>
        <w:r w:rsidRPr="00F15F2A">
          <w:rPr>
            <w:color w:val="0070B8"/>
          </w:rPr>
          <w:instrText>PAGE   \* MERGEFORMAT</w:instrText>
        </w:r>
        <w:r w:rsidRPr="00F15F2A">
          <w:rPr>
            <w:color w:val="0070B8"/>
          </w:rPr>
          <w:fldChar w:fldCharType="separate"/>
        </w:r>
        <w:r w:rsidR="003C399C">
          <w:rPr>
            <w:noProof/>
            <w:color w:val="0070B8"/>
          </w:rPr>
          <w:t>3</w:t>
        </w:r>
        <w:r w:rsidRPr="00F15F2A">
          <w:rPr>
            <w:color w:val="0070B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A820C" w14:textId="77777777" w:rsidR="00B77C65" w:rsidRDefault="00B77C65" w:rsidP="004710D2">
      <w:pPr>
        <w:spacing w:after="0"/>
      </w:pPr>
      <w:r>
        <w:separator/>
      </w:r>
    </w:p>
    <w:p w14:paraId="34CC0909" w14:textId="77777777" w:rsidR="00B77C65" w:rsidRDefault="00B77C65"/>
  </w:footnote>
  <w:footnote w:type="continuationSeparator" w:id="0">
    <w:p w14:paraId="5761AA54" w14:textId="77777777" w:rsidR="00B77C65" w:rsidRDefault="00B77C65" w:rsidP="004710D2">
      <w:pPr>
        <w:spacing w:after="0"/>
      </w:pPr>
      <w:r>
        <w:continuationSeparator/>
      </w:r>
    </w:p>
    <w:p w14:paraId="58D0331A" w14:textId="77777777" w:rsidR="00B77C65" w:rsidRDefault="00B77C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CE05E" w14:textId="77777777" w:rsidR="004710D2" w:rsidRDefault="000F4BCA" w:rsidP="004710D2">
    <w:pPr>
      <w:pStyle w:val="Kopfzeile"/>
      <w:ind w:left="-142"/>
    </w:pPr>
    <w:r>
      <w:rPr>
        <w:noProof/>
        <w:lang w:eastAsia="de-DE"/>
      </w:rPr>
      <mc:AlternateContent>
        <mc:Choice Requires="wps">
          <w:drawing>
            <wp:anchor distT="0" distB="0" distL="114300" distR="114300" simplePos="0" relativeHeight="251660288" behindDoc="0" locked="0" layoutInCell="1" allowOverlap="1" wp14:anchorId="05537B76" wp14:editId="6EB414C9">
              <wp:simplePos x="0" y="0"/>
              <wp:positionH relativeFrom="column">
                <wp:posOffset>3147000</wp:posOffset>
              </wp:positionH>
              <wp:positionV relativeFrom="paragraph">
                <wp:posOffset>-32876</wp:posOffset>
              </wp:positionV>
              <wp:extent cx="3619800" cy="767751"/>
              <wp:effectExtent l="0" t="0" r="0" b="0"/>
              <wp:wrapNone/>
              <wp:docPr id="5" name="Textfeld 5"/>
              <wp:cNvGraphicFramePr/>
              <a:graphic xmlns:a="http://schemas.openxmlformats.org/drawingml/2006/main">
                <a:graphicData uri="http://schemas.microsoft.com/office/word/2010/wordprocessingShape">
                  <wps:wsp>
                    <wps:cNvSpPr txBox="1"/>
                    <wps:spPr>
                      <a:xfrm>
                        <a:off x="0" y="0"/>
                        <a:ext cx="3619800" cy="767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53779" w14:textId="77777777" w:rsidR="000F4BCA" w:rsidRDefault="00887FB3" w:rsidP="000F4BCA">
                          <w:pPr>
                            <w:spacing w:line="260" w:lineRule="exact"/>
                            <w:jc w:val="right"/>
                            <w:rPr>
                              <w:rFonts w:ascii="TheSans" w:hAnsi="TheSans"/>
                              <w:b/>
                              <w:color w:val="FFFFFF" w:themeColor="background1"/>
                            </w:rPr>
                          </w:pPr>
                          <w:r>
                            <w:rPr>
                              <w:rFonts w:ascii="TheSans" w:hAnsi="TheSans"/>
                              <w:b/>
                              <w:color w:val="FFFFFF" w:themeColor="background1"/>
                            </w:rPr>
                            <w:t>Neue ASUE-Broschüre</w:t>
                          </w:r>
                        </w:p>
                        <w:p w14:paraId="709DCA83" w14:textId="77777777" w:rsidR="00887FB3" w:rsidRPr="004C5BD1" w:rsidRDefault="00887FB3" w:rsidP="000F4BCA">
                          <w:pPr>
                            <w:spacing w:line="260" w:lineRule="exact"/>
                            <w:jc w:val="right"/>
                            <w:rPr>
                              <w:rFonts w:ascii="TheSans" w:hAnsi="TheSans"/>
                              <w:b/>
                              <w:color w:val="FFFFFF" w:themeColor="background1"/>
                            </w:rPr>
                          </w:pPr>
                          <w:r w:rsidRPr="00887FB3">
                            <w:rPr>
                              <w:rFonts w:ascii="TheSans" w:hAnsi="TheSans"/>
                              <w:b/>
                              <w:color w:val="FFFFFF" w:themeColor="background1"/>
                            </w:rPr>
                            <w:t>Vom Niedrigstenergiehaus zum Hocheffizienzhaus – mit effizienter Gastechnik wirtschaftlich möglich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37B76" id="_x0000_t202" coordsize="21600,21600" o:spt="202" path="m,l,21600r21600,l21600,xe">
              <v:stroke joinstyle="miter"/>
              <v:path gradientshapeok="t" o:connecttype="rect"/>
            </v:shapetype>
            <v:shape id="Textfeld 5" o:spid="_x0000_s1027" type="#_x0000_t202" style="position:absolute;left:0;text-align:left;margin-left:247.8pt;margin-top:-2.6pt;width:285pt;height:6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" filled="f" stroked="f" strokeweight=".5pt">
              <v:textbox>
                <w:txbxContent>
                  <w:p w14:paraId="0C353779" w14:textId="77777777" w:rsidR="000F4BCA" w:rsidRDefault="00887FB3" w:rsidP="000F4BCA">
                    <w:pPr>
                      <w:spacing w:line="260" w:lineRule="exact"/>
                      <w:jc w:val="right"/>
                      <w:rPr>
                        <w:rFonts w:ascii="TheSans" w:hAnsi="TheSans"/>
                        <w:b/>
                        <w:color w:val="FFFFFF" w:themeColor="background1"/>
                      </w:rPr>
                    </w:pPr>
                    <w:r>
                      <w:rPr>
                        <w:rFonts w:ascii="TheSans" w:hAnsi="TheSans"/>
                        <w:b/>
                        <w:color w:val="FFFFFF" w:themeColor="background1"/>
                      </w:rPr>
                      <w:t>Neue ASUE-Broschüre</w:t>
                    </w:r>
                  </w:p>
                  <w:p w14:paraId="709DCA83" w14:textId="77777777" w:rsidR="00887FB3" w:rsidRPr="004C5BD1" w:rsidRDefault="00887FB3" w:rsidP="000F4BCA">
                    <w:pPr>
                      <w:spacing w:line="260" w:lineRule="exact"/>
                      <w:jc w:val="right"/>
                      <w:rPr>
                        <w:rFonts w:ascii="TheSans" w:hAnsi="TheSans"/>
                        <w:b/>
                        <w:color w:val="FFFFFF" w:themeColor="background1"/>
                      </w:rPr>
                    </w:pPr>
                    <w:r w:rsidRPr="00887FB3">
                      <w:rPr>
                        <w:rFonts w:ascii="TheSans" w:hAnsi="TheSans"/>
                        <w:b/>
                        <w:color w:val="FFFFFF" w:themeColor="background1"/>
                      </w:rPr>
                      <w:t>Vom Niedrigstenergiehaus zum Hocheffizienzhaus – mit effizienter Gastechnik wirtschaftlich möglich</w:t>
                    </w:r>
                  </w:p>
                </w:txbxContent>
              </v:textbox>
            </v:shape>
          </w:pict>
        </mc:Fallback>
      </mc:AlternateContent>
    </w:r>
    <w:r w:rsidR="004710D2">
      <w:rPr>
        <w:noProof/>
        <w:lang w:eastAsia="de-DE"/>
      </w:rPr>
      <mc:AlternateContent>
        <mc:Choice Requires="wps">
          <w:drawing>
            <wp:anchor distT="0" distB="0" distL="114300" distR="114300" simplePos="0" relativeHeight="251659264" behindDoc="0" locked="0" layoutInCell="1" allowOverlap="1" wp14:anchorId="0D8E68B2" wp14:editId="2B5329F1">
              <wp:simplePos x="0" y="0"/>
              <wp:positionH relativeFrom="column">
                <wp:posOffset>-1132603</wp:posOffset>
              </wp:positionH>
              <wp:positionV relativeFrom="paragraph">
                <wp:posOffset>-360680</wp:posOffset>
              </wp:positionV>
              <wp:extent cx="8531749" cy="1241946"/>
              <wp:effectExtent l="0" t="0" r="3175" b="0"/>
              <wp:wrapNone/>
              <wp:docPr id="4" name="Rechteck 4"/>
              <wp:cNvGraphicFramePr/>
              <a:graphic xmlns:a="http://schemas.openxmlformats.org/drawingml/2006/main">
                <a:graphicData uri="http://schemas.microsoft.com/office/word/2010/wordprocessingShape">
                  <wps:wsp>
                    <wps:cNvSpPr/>
                    <wps:spPr>
                      <a:xfrm>
                        <a:off x="0" y="0"/>
                        <a:ext cx="8531749" cy="1241946"/>
                      </a:xfrm>
                      <a:prstGeom prst="rect">
                        <a:avLst/>
                      </a:prstGeom>
                      <a:solidFill>
                        <a:srgbClr val="0070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579BD" w14:textId="77777777" w:rsidR="004710D2" w:rsidRDefault="004801C3" w:rsidP="003370A8">
                          <w:pPr>
                            <w:ind w:left="1701" w:hanging="283"/>
                            <w:jc w:val="left"/>
                          </w:pPr>
                          <w:r>
                            <w:rPr>
                              <w:noProof/>
                              <w:lang w:eastAsia="de-DE"/>
                            </w:rPr>
                            <w:drawing>
                              <wp:inline distT="0" distB="0" distL="0" distR="0" wp14:anchorId="78FD843F" wp14:editId="30C76E75">
                                <wp:extent cx="1571625" cy="51657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7BC3"/>
                                            </a:clrFrom>
                                            <a:clrTo>
                                              <a:srgbClr val="007BC3">
                                                <a:alpha val="0"/>
                                              </a:srgbClr>
                                            </a:clrTo>
                                          </a:clrChange>
                                          <a:extLst>
                                            <a:ext uri="{28A0092B-C50C-407E-A947-70E740481C1C}">
                                              <a14:useLocalDpi xmlns:a14="http://schemas.microsoft.com/office/drawing/2010/main" val="0"/>
                                            </a:ext>
                                          </a:extLst>
                                        </a:blip>
                                        <a:srcRect/>
                                        <a:stretch>
                                          <a:fillRect/>
                                        </a:stretch>
                                      </pic:blipFill>
                                      <pic:spPr bwMode="auto">
                                        <a:xfrm>
                                          <a:off x="0" y="0"/>
                                          <a:ext cx="1575141" cy="517735"/>
                                        </a:xfrm>
                                        <a:prstGeom prst="rect">
                                          <a:avLst/>
                                        </a:prstGeom>
                                        <a:noFill/>
                                        <a:ln>
                                          <a:noFill/>
                                        </a:ln>
                                      </pic:spPr>
                                    </pic:pic>
                                  </a:graphicData>
                                </a:graphic>
                              </wp:inline>
                            </w:drawing>
                          </w:r>
                          <w:r w:rsidR="00C05857">
                            <w:tab/>
                          </w:r>
                          <w:r w:rsidR="00887FB3" w:rsidRPr="00887FB3">
                            <w:rPr>
                              <w:noProof/>
                            </w:rPr>
                            <w:drawing>
                              <wp:inline distT="0" distB="0" distL="0" distR="0" wp14:anchorId="6DE544DC" wp14:editId="0F8F9B45">
                                <wp:extent cx="914482" cy="552090"/>
                                <wp:effectExtent l="0" t="0" r="0" b="635"/>
                                <wp:docPr id="42" name="Grafik 42">
                                  <a:extLst xmlns:a="http://schemas.openxmlformats.org/drawingml/2006/main">
                                    <a:ext uri="{FF2B5EF4-FFF2-40B4-BE49-F238E27FC236}">
                                      <a16:creationId xmlns:a16="http://schemas.microsoft.com/office/drawing/2014/main" id="{7C9AEA8E-A573-44ED-96BA-DB08B632D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7C9AEA8E-A573-44ED-96BA-DB08B632DF30}"/>
                                            </a:ext>
                                          </a:extLst>
                                        </pic:cNvPr>
                                        <pic:cNvPicPr>
                                          <a:picLocks noChangeAspect="1"/>
                                        </pic:cNvPicPr>
                                      </pic:nvPicPr>
                                      <pic:blipFill>
                                        <a:blip r:embed="rId2"/>
                                        <a:stretch>
                                          <a:fillRect/>
                                        </a:stretch>
                                      </pic:blipFill>
                                      <pic:spPr>
                                        <a:xfrm>
                                          <a:off x="0" y="0"/>
                                          <a:ext cx="923393" cy="557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68B2" id="Rechteck 4" o:spid="_x0000_s1028" style="position:absolute;left:0;text-align:left;margin-left:-89.2pt;margin-top:-28.4pt;width:671.8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" fillcolor="#0070b8" stroked="f" strokeweight="2pt">
              <v:textbox>
                <w:txbxContent>
                  <w:p w14:paraId="6AB579BD" w14:textId="77777777" w:rsidR="004710D2" w:rsidRDefault="004801C3" w:rsidP="003370A8">
                    <w:pPr>
                      <w:ind w:left="1701" w:hanging="283"/>
                      <w:jc w:val="left"/>
                    </w:pPr>
                    <w:r>
                      <w:rPr>
                        <w:noProof/>
                        <w:lang w:eastAsia="de-DE"/>
                      </w:rPr>
                      <w:drawing>
                        <wp:inline distT="0" distB="0" distL="0" distR="0" wp14:anchorId="78FD843F" wp14:editId="30C76E75">
                          <wp:extent cx="1571625" cy="51657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7BC3"/>
                                      </a:clrFrom>
                                      <a:clrTo>
                                        <a:srgbClr val="007BC3">
                                          <a:alpha val="0"/>
                                        </a:srgbClr>
                                      </a:clrTo>
                                    </a:clrChange>
                                    <a:extLst>
                                      <a:ext uri="{28A0092B-C50C-407E-A947-70E740481C1C}">
                                        <a14:useLocalDpi xmlns:a14="http://schemas.microsoft.com/office/drawing/2010/main" val="0"/>
                                      </a:ext>
                                    </a:extLst>
                                  </a:blip>
                                  <a:srcRect/>
                                  <a:stretch>
                                    <a:fillRect/>
                                  </a:stretch>
                                </pic:blipFill>
                                <pic:spPr bwMode="auto">
                                  <a:xfrm>
                                    <a:off x="0" y="0"/>
                                    <a:ext cx="1575141" cy="517735"/>
                                  </a:xfrm>
                                  <a:prstGeom prst="rect">
                                    <a:avLst/>
                                  </a:prstGeom>
                                  <a:noFill/>
                                  <a:ln>
                                    <a:noFill/>
                                  </a:ln>
                                </pic:spPr>
                              </pic:pic>
                            </a:graphicData>
                          </a:graphic>
                        </wp:inline>
                      </w:drawing>
                    </w:r>
                    <w:r w:rsidR="00C05857">
                      <w:tab/>
                    </w:r>
                    <w:r w:rsidR="00887FB3" w:rsidRPr="00887FB3">
                      <w:rPr>
                        <w:noProof/>
                      </w:rPr>
                      <w:drawing>
                        <wp:inline distT="0" distB="0" distL="0" distR="0" wp14:anchorId="6DE544DC" wp14:editId="0F8F9B45">
                          <wp:extent cx="914482" cy="552090"/>
                          <wp:effectExtent l="0" t="0" r="0" b="635"/>
                          <wp:docPr id="42" name="Grafik 42">
                            <a:extLst xmlns:a="http://schemas.openxmlformats.org/drawingml/2006/main">
                              <a:ext uri="{FF2B5EF4-FFF2-40B4-BE49-F238E27FC236}">
                                <a16:creationId xmlns:a16="http://schemas.microsoft.com/office/drawing/2014/main" id="{7C9AEA8E-A573-44ED-96BA-DB08B632D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7C9AEA8E-A573-44ED-96BA-DB08B632DF30}"/>
                                      </a:ext>
                                    </a:extLst>
                                  </pic:cNvPr>
                                  <pic:cNvPicPr>
                                    <a:picLocks noChangeAspect="1"/>
                                  </pic:cNvPicPr>
                                </pic:nvPicPr>
                                <pic:blipFill>
                                  <a:blip r:embed="rId2"/>
                                  <a:stretch>
                                    <a:fillRect/>
                                  </a:stretch>
                                </pic:blipFill>
                                <pic:spPr>
                                  <a:xfrm>
                                    <a:off x="0" y="0"/>
                                    <a:ext cx="923393" cy="557470"/>
                                  </a:xfrm>
                                  <a:prstGeom prst="rect">
                                    <a:avLst/>
                                  </a:prstGeom>
                                </pic:spPr>
                              </pic:pic>
                            </a:graphicData>
                          </a:graphic>
                        </wp:inline>
                      </w:drawing>
                    </w:r>
                  </w:p>
                </w:txbxContent>
              </v:textbox>
            </v:rect>
          </w:pict>
        </mc:Fallback>
      </mc:AlternateContent>
    </w:r>
    <w:r w:rsidR="00887FB3">
      <w:rPr>
        <w:noProof/>
      </w:rPr>
      <w:drawing>
        <wp:inline distT="0" distB="0" distL="0" distR="0" wp14:anchorId="307CBBA6" wp14:editId="3C379284">
          <wp:extent cx="963295" cy="585470"/>
          <wp:effectExtent l="0" t="0" r="0"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12722"/>
    <w:multiLevelType w:val="hybridMultilevel"/>
    <w:tmpl w:val="D430B17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23A06B3F"/>
    <w:multiLevelType w:val="hybridMultilevel"/>
    <w:tmpl w:val="25D0FE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B4C7936"/>
    <w:multiLevelType w:val="hybridMultilevel"/>
    <w:tmpl w:val="A5F078C0"/>
    <w:lvl w:ilvl="0" w:tplc="D5441B8A">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8435F0"/>
    <w:multiLevelType w:val="hybridMultilevel"/>
    <w:tmpl w:val="C546CB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2"/>
  </w:num>
  <w:num w:numId="3">
    <w:abstractNumId w:val="0"/>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08"/>
  <w:autoHyphenation/>
  <w:consecutiveHyphenLimit w:val="2"/>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385"/>
    <w:rsid w:val="00026027"/>
    <w:rsid w:val="0003132E"/>
    <w:rsid w:val="000A185E"/>
    <w:rsid w:val="000B24B4"/>
    <w:rsid w:val="000D2822"/>
    <w:rsid w:val="000F4BCA"/>
    <w:rsid w:val="00191236"/>
    <w:rsid w:val="001B28B9"/>
    <w:rsid w:val="00200539"/>
    <w:rsid w:val="00273CDC"/>
    <w:rsid w:val="002D2C56"/>
    <w:rsid w:val="00302826"/>
    <w:rsid w:val="0031569B"/>
    <w:rsid w:val="003370A8"/>
    <w:rsid w:val="003A5D13"/>
    <w:rsid w:val="003C399C"/>
    <w:rsid w:val="004710D2"/>
    <w:rsid w:val="004801C3"/>
    <w:rsid w:val="004A1DD7"/>
    <w:rsid w:val="004B2199"/>
    <w:rsid w:val="004C5BD1"/>
    <w:rsid w:val="004E6A1B"/>
    <w:rsid w:val="00505E99"/>
    <w:rsid w:val="005123EB"/>
    <w:rsid w:val="00524460"/>
    <w:rsid w:val="005333B7"/>
    <w:rsid w:val="005335ED"/>
    <w:rsid w:val="00537A11"/>
    <w:rsid w:val="005A7385"/>
    <w:rsid w:val="005F6AAB"/>
    <w:rsid w:val="00646128"/>
    <w:rsid w:val="00695D76"/>
    <w:rsid w:val="00712421"/>
    <w:rsid w:val="00750E4F"/>
    <w:rsid w:val="00785C76"/>
    <w:rsid w:val="007A7DFE"/>
    <w:rsid w:val="00821FD2"/>
    <w:rsid w:val="00887FB3"/>
    <w:rsid w:val="00890CA8"/>
    <w:rsid w:val="0089616F"/>
    <w:rsid w:val="008966F6"/>
    <w:rsid w:val="008A2ED7"/>
    <w:rsid w:val="00917E26"/>
    <w:rsid w:val="00941200"/>
    <w:rsid w:val="00973863"/>
    <w:rsid w:val="009D72A3"/>
    <w:rsid w:val="00A12D42"/>
    <w:rsid w:val="00A47F65"/>
    <w:rsid w:val="00AD26FE"/>
    <w:rsid w:val="00B243DB"/>
    <w:rsid w:val="00B77C65"/>
    <w:rsid w:val="00B83CEC"/>
    <w:rsid w:val="00B936E2"/>
    <w:rsid w:val="00BD3F6D"/>
    <w:rsid w:val="00C05857"/>
    <w:rsid w:val="00C20700"/>
    <w:rsid w:val="00C62098"/>
    <w:rsid w:val="00D17174"/>
    <w:rsid w:val="00D577DA"/>
    <w:rsid w:val="00D9670A"/>
    <w:rsid w:val="00DB7B16"/>
    <w:rsid w:val="00DF04DA"/>
    <w:rsid w:val="00E21A7E"/>
    <w:rsid w:val="00E648B3"/>
    <w:rsid w:val="00F0147D"/>
    <w:rsid w:val="00F15F2A"/>
    <w:rsid w:val="00F6135A"/>
    <w:rsid w:val="00F9474B"/>
    <w:rsid w:val="00FB41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B90057"/>
  <w15:docId w15:val="{3B98A4D6-BADA-4601-9A1D-0CE60BA6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rial Unicode MS"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890CA8"/>
    <w:pPr>
      <w:pBdr>
        <w:top w:val="nil"/>
        <w:left w:val="nil"/>
        <w:bottom w:val="nil"/>
        <w:right w:val="nil"/>
        <w:between w:val="nil"/>
        <w:bar w:val="nil"/>
      </w:pBdr>
      <w:spacing w:after="120" w:line="240" w:lineRule="auto"/>
      <w:jc w:val="both"/>
    </w:pPr>
    <w:rPr>
      <w:rFonts w:ascii="Calibri" w:hAnsi="Calibri" w:cs="Times New Roman"/>
      <w:sz w:val="24"/>
      <w:szCs w:val="24"/>
      <w:bdr w:val="nil"/>
    </w:rPr>
  </w:style>
  <w:style w:type="paragraph" w:styleId="berschrift1">
    <w:name w:val="heading 1"/>
    <w:next w:val="Standard"/>
    <w:link w:val="berschrift1Zchn"/>
    <w:uiPriority w:val="9"/>
    <w:qFormat/>
    <w:rsid w:val="00A12D42"/>
    <w:pPr>
      <w:keepNext/>
      <w:keepLines/>
      <w:spacing w:before="480" w:after="0"/>
      <w:outlineLvl w:val="0"/>
    </w:pPr>
    <w:rPr>
      <w:rFonts w:asciiTheme="majorHAnsi" w:eastAsiaTheme="majorEastAsia" w:hAnsiTheme="majorHAnsi" w:cstheme="majorBidi"/>
      <w:b/>
      <w:bCs/>
      <w:color w:val="0070B8"/>
      <w:sz w:val="28"/>
      <w:szCs w:val="28"/>
    </w:rPr>
  </w:style>
  <w:style w:type="paragraph" w:styleId="berschrift2">
    <w:name w:val="heading 2"/>
    <w:basedOn w:val="Standard"/>
    <w:next w:val="Standard"/>
    <w:link w:val="berschrift2Zchn"/>
    <w:uiPriority w:val="9"/>
    <w:unhideWhenUsed/>
    <w:qFormat/>
    <w:rsid w:val="00F15F2A"/>
    <w:pPr>
      <w:keepNext/>
      <w:keepLines/>
      <w:spacing w:before="240"/>
      <w:outlineLvl w:val="1"/>
    </w:pPr>
    <w:rPr>
      <w:rFonts w:eastAsiaTheme="majorEastAsia" w:cstheme="majorBidi"/>
      <w:b/>
      <w:bCs/>
      <w:color w:val="0070B8"/>
      <w:szCs w:val="26"/>
      <w:bdr w:val="none" w:sz="0" w:space="0" w:color="auto"/>
    </w:rPr>
  </w:style>
  <w:style w:type="paragraph" w:styleId="berschrift3">
    <w:name w:val="heading 3"/>
    <w:basedOn w:val="Standard"/>
    <w:next w:val="Standard"/>
    <w:link w:val="berschrift3Zchn"/>
    <w:uiPriority w:val="9"/>
    <w:unhideWhenUsed/>
    <w:qFormat/>
    <w:rsid w:val="00D967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0260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6027"/>
  </w:style>
  <w:style w:type="paragraph" w:styleId="Fuzeile">
    <w:name w:val="footer"/>
    <w:link w:val="FuzeileZchn"/>
    <w:uiPriority w:val="99"/>
    <w:unhideWhenUsed/>
    <w:rsid w:val="000260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6027"/>
  </w:style>
  <w:style w:type="paragraph" w:styleId="Listenabsatz">
    <w:name w:val="List Paragraph"/>
    <w:basedOn w:val="Standard"/>
    <w:uiPriority w:val="34"/>
    <w:qFormat/>
    <w:rsid w:val="0031569B"/>
    <w:pPr>
      <w:numPr>
        <w:numId w:val="1"/>
      </w:numPr>
      <w:contextualSpacing/>
    </w:pPr>
  </w:style>
  <w:style w:type="character" w:customStyle="1" w:styleId="berschrift1Zchn">
    <w:name w:val="Überschrift 1 Zchn"/>
    <w:basedOn w:val="Absatz-Standardschriftart"/>
    <w:link w:val="berschrift1"/>
    <w:uiPriority w:val="9"/>
    <w:rsid w:val="00A12D42"/>
    <w:rPr>
      <w:rFonts w:asciiTheme="majorHAnsi" w:eastAsiaTheme="majorEastAsia" w:hAnsiTheme="majorHAnsi" w:cstheme="majorBidi"/>
      <w:b/>
      <w:bCs/>
      <w:color w:val="0070B8"/>
      <w:sz w:val="28"/>
      <w:szCs w:val="28"/>
    </w:rPr>
  </w:style>
  <w:style w:type="character" w:customStyle="1" w:styleId="berschrift2Zchn">
    <w:name w:val="Überschrift 2 Zchn"/>
    <w:basedOn w:val="Absatz-Standardschriftart"/>
    <w:link w:val="berschrift2"/>
    <w:uiPriority w:val="9"/>
    <w:rsid w:val="00F15F2A"/>
    <w:rPr>
      <w:rFonts w:ascii="Calibri" w:eastAsiaTheme="majorEastAsia" w:hAnsi="Calibri" w:cstheme="majorBidi"/>
      <w:b/>
      <w:bCs/>
      <w:color w:val="0070B8"/>
      <w:sz w:val="24"/>
      <w:szCs w:val="26"/>
    </w:rPr>
  </w:style>
  <w:style w:type="paragraph" w:styleId="Sprechblasentext">
    <w:name w:val="Balloon Text"/>
    <w:basedOn w:val="Standard"/>
    <w:link w:val="SprechblasentextZchn"/>
    <w:uiPriority w:val="99"/>
    <w:semiHidden/>
    <w:unhideWhenUsed/>
    <w:rsid w:val="004710D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10D2"/>
    <w:rPr>
      <w:rFonts w:ascii="Tahoma" w:hAnsi="Tahoma" w:cs="Tahoma"/>
      <w:sz w:val="16"/>
      <w:szCs w:val="16"/>
      <w:bdr w:val="nil"/>
    </w:rPr>
  </w:style>
  <w:style w:type="paragraph" w:styleId="KeinLeerraum">
    <w:name w:val="No Spacing"/>
    <w:uiPriority w:val="1"/>
    <w:qFormat/>
    <w:rsid w:val="00B243DB"/>
    <w:pPr>
      <w:pBdr>
        <w:top w:val="nil"/>
        <w:left w:val="nil"/>
        <w:bottom w:val="nil"/>
        <w:right w:val="nil"/>
        <w:between w:val="nil"/>
        <w:bar w:val="nil"/>
      </w:pBdr>
      <w:spacing w:after="0" w:line="240" w:lineRule="auto"/>
      <w:jc w:val="both"/>
    </w:pPr>
    <w:rPr>
      <w:rFonts w:ascii="Calibri" w:hAnsi="Calibri" w:cs="Times New Roman"/>
      <w:sz w:val="24"/>
      <w:szCs w:val="24"/>
      <w:bdr w:val="nil"/>
    </w:rPr>
  </w:style>
  <w:style w:type="character" w:styleId="Fett">
    <w:name w:val="Strong"/>
    <w:basedOn w:val="Absatz-Standardschriftart"/>
    <w:uiPriority w:val="22"/>
    <w:qFormat/>
    <w:rsid w:val="00B243DB"/>
    <w:rPr>
      <w:b/>
      <w:bCs/>
    </w:rPr>
  </w:style>
  <w:style w:type="character" w:styleId="Kommentarzeichen">
    <w:name w:val="annotation reference"/>
    <w:basedOn w:val="Absatz-Standardschriftart"/>
    <w:uiPriority w:val="99"/>
    <w:semiHidden/>
    <w:unhideWhenUsed/>
    <w:rsid w:val="000A185E"/>
    <w:rPr>
      <w:sz w:val="16"/>
      <w:szCs w:val="16"/>
    </w:rPr>
  </w:style>
  <w:style w:type="paragraph" w:styleId="Kommentartext">
    <w:name w:val="annotation text"/>
    <w:basedOn w:val="Standard"/>
    <w:link w:val="KommentartextZchn"/>
    <w:uiPriority w:val="99"/>
    <w:semiHidden/>
    <w:unhideWhenUsed/>
    <w:rsid w:val="000A185E"/>
    <w:rPr>
      <w:sz w:val="20"/>
      <w:szCs w:val="20"/>
    </w:rPr>
  </w:style>
  <w:style w:type="character" w:customStyle="1" w:styleId="KommentartextZchn">
    <w:name w:val="Kommentartext Zchn"/>
    <w:basedOn w:val="Absatz-Standardschriftart"/>
    <w:link w:val="Kommentartext"/>
    <w:uiPriority w:val="99"/>
    <w:semiHidden/>
    <w:rsid w:val="000A185E"/>
    <w:rPr>
      <w:rFonts w:ascii="Calibri" w:hAnsi="Calibri" w:cs="Times New Roman"/>
      <w:sz w:val="20"/>
      <w:szCs w:val="20"/>
      <w:bdr w:val="nil"/>
    </w:rPr>
  </w:style>
  <w:style w:type="paragraph" w:styleId="Kommentarthema">
    <w:name w:val="annotation subject"/>
    <w:basedOn w:val="Kommentartext"/>
    <w:next w:val="Kommentartext"/>
    <w:link w:val="KommentarthemaZchn"/>
    <w:uiPriority w:val="99"/>
    <w:semiHidden/>
    <w:unhideWhenUsed/>
    <w:rsid w:val="000A185E"/>
    <w:rPr>
      <w:b/>
      <w:bCs/>
    </w:rPr>
  </w:style>
  <w:style w:type="character" w:customStyle="1" w:styleId="KommentarthemaZchn">
    <w:name w:val="Kommentarthema Zchn"/>
    <w:basedOn w:val="KommentartextZchn"/>
    <w:link w:val="Kommentarthema"/>
    <w:uiPriority w:val="99"/>
    <w:semiHidden/>
    <w:rsid w:val="000A185E"/>
    <w:rPr>
      <w:rFonts w:ascii="Calibri" w:hAnsi="Calibri" w:cs="Times New Roman"/>
      <w:b/>
      <w:bCs/>
      <w:sz w:val="20"/>
      <w:szCs w:val="20"/>
      <w:bdr w:val="nil"/>
    </w:rPr>
  </w:style>
  <w:style w:type="character" w:styleId="Hyperlink">
    <w:name w:val="Hyperlink"/>
    <w:basedOn w:val="Absatz-Standardschriftart"/>
    <w:uiPriority w:val="99"/>
    <w:unhideWhenUsed/>
    <w:rsid w:val="005335ED"/>
    <w:rPr>
      <w:color w:val="0000FF" w:themeColor="hyperlink"/>
      <w:u w:val="single"/>
    </w:rPr>
  </w:style>
  <w:style w:type="character" w:customStyle="1" w:styleId="berschrift3Zchn">
    <w:name w:val="Überschrift 3 Zchn"/>
    <w:basedOn w:val="Absatz-Standardschriftart"/>
    <w:link w:val="berschrift3"/>
    <w:uiPriority w:val="9"/>
    <w:rsid w:val="00D9670A"/>
    <w:rPr>
      <w:rFonts w:asciiTheme="majorHAnsi" w:eastAsiaTheme="majorEastAsia" w:hAnsiTheme="majorHAnsi" w:cstheme="majorBidi"/>
      <w:b/>
      <w:bCs/>
      <w:color w:val="4F81BD" w:themeColor="accent1"/>
      <w:sz w:val="24"/>
      <w:szCs w:val="24"/>
      <w:bdr w:val="nil"/>
    </w:rPr>
  </w:style>
  <w:style w:type="paragraph" w:styleId="Beschriftung">
    <w:name w:val="caption"/>
    <w:basedOn w:val="Standard"/>
    <w:next w:val="Standard"/>
    <w:uiPriority w:val="35"/>
    <w:unhideWhenUsed/>
    <w:qFormat/>
    <w:rsid w:val="00FB415E"/>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7A7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11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sue.de/energie-im-haus/broschueren/311690_vom_niedrigstenergiehaus_zum_hocheffizienzhau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1%20ASUE\2%20operatives\Vorlagen-Logos-Signaturen\EDV\Word\asue-presse%20und%20position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C30F0-DE6D-44E8-B5ED-B1E9A0975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asue-presse und positionen.dotx</Template>
  <TotalTime>0</TotalTime>
  <Pages>4</Pages>
  <Words>709</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Grüne Gase- Ein maßgeblicher Baustein der Energiewende</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Grüne Gase- Ein maßgeblicher Baustein der Energiewende</dc:title>
  <dc:subject>Biogas, Biomethan, PtG, Flexibilisierung, Ökologie</dc:subject>
  <dc:creator>Thomas Wencker</dc:creator>
  <cp:lastModifiedBy>Thomas Wencker</cp:lastModifiedBy>
  <cp:revision>7</cp:revision>
  <cp:lastPrinted>2021-09-08T06:52:00Z</cp:lastPrinted>
  <dcterms:created xsi:type="dcterms:W3CDTF">2021-08-25T12:04:00Z</dcterms:created>
  <dcterms:modified xsi:type="dcterms:W3CDTF">2021-09-08T06:52:00Z</dcterms:modified>
</cp:coreProperties>
</file>